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22" w:rsidRPr="0016005D" w:rsidRDefault="00E80822" w:rsidP="00E80822">
      <w:pPr>
        <w:spacing w:after="300" w:line="288" w:lineRule="atLeast"/>
        <w:outlineLvl w:val="1"/>
        <w:rPr>
          <w:rFonts w:ascii="Arial" w:eastAsia="Times New Roman" w:hAnsi="Arial" w:cs="Arial"/>
          <w:b/>
          <w:bCs/>
          <w:spacing w:val="-12"/>
          <w:kern w:val="36"/>
          <w:sz w:val="36"/>
          <w:szCs w:val="36"/>
          <w:lang w:eastAsia="tr-TR"/>
        </w:rPr>
      </w:pPr>
      <w:r w:rsidRPr="0016005D">
        <w:rPr>
          <w:rFonts w:ascii="Arial" w:eastAsia="Times New Roman" w:hAnsi="Arial" w:cs="Arial"/>
          <w:b/>
          <w:bCs/>
          <w:spacing w:val="-12"/>
          <w:kern w:val="36"/>
          <w:sz w:val="36"/>
          <w:szCs w:val="36"/>
          <w:lang w:eastAsia="tr-TR"/>
        </w:rPr>
        <w:t>Ülke Künyesi</w:t>
      </w:r>
    </w:p>
    <w:tbl>
      <w:tblPr>
        <w:tblpPr w:leftFromText="45" w:rightFromText="45" w:vertAnchor="text"/>
        <w:tblW w:w="48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72"/>
        <w:gridCol w:w="927"/>
        <w:gridCol w:w="1622"/>
        <w:gridCol w:w="3776"/>
      </w:tblGrid>
      <w:tr w:rsidR="0016005D" w:rsidRPr="0016005D" w:rsidTr="001E2CCF">
        <w:tc>
          <w:tcPr>
            <w:tcW w:w="285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E80822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Gambiya Cumhuriyet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E80822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531EE43" wp14:editId="278E47E6">
                  <wp:extent cx="904875" cy="619125"/>
                  <wp:effectExtent l="0" t="0" r="9525" b="9525"/>
                  <wp:docPr id="1" name="Picture 1" descr="http://www.mfa.gov.tr/site_media/images/flags/gamb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tr/site_media/images/flags/gamb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05D" w:rsidRPr="0016005D" w:rsidTr="001E2CCF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E80822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Başkent: </w:t>
            </w: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Banjul</w:t>
            </w: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374" w:rsidRPr="0016005D" w:rsidRDefault="00E80822" w:rsidP="00326374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Nüfus:</w:t>
            </w:r>
            <w:r w:rsidR="0069644E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6964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2.300.000</w:t>
            </w:r>
          </w:p>
          <w:p w:rsidR="00E80822" w:rsidRPr="0016005D" w:rsidRDefault="00326374" w:rsidP="0021790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6964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  <w:r w:rsidR="00217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6964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217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UNDP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E80822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Yüzölçümü:</w:t>
            </w: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11.295 km2 </w:t>
            </w:r>
          </w:p>
        </w:tc>
        <w:tc>
          <w:tcPr>
            <w:tcW w:w="2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822" w:rsidRPr="0016005D" w:rsidRDefault="00E80822" w:rsidP="00E8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05D" w:rsidRPr="0016005D" w:rsidTr="001E2CCF">
        <w:tc>
          <w:tcPr>
            <w:tcW w:w="1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7268A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Cumhurb</w:t>
            </w:r>
            <w:r w:rsidR="00E80822"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aşkanı:</w:t>
            </w:r>
            <w:r w:rsidR="00E80822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F76B11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Adama </w:t>
            </w:r>
            <w:proofErr w:type="spellStart"/>
            <w:r w:rsidR="00F76B11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Barrow</w:t>
            </w:r>
            <w:proofErr w:type="spellEnd"/>
            <w:r w:rsidR="00E80822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222" w:rsidRPr="0016005D" w:rsidRDefault="00E80822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Başbakan</w:t>
            </w:r>
            <w:r w:rsidR="00752222"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752222" w:rsidRPr="0016005D" w:rsidRDefault="00752222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Hükümetin başı </w:t>
            </w:r>
            <w:proofErr w:type="gramStart"/>
            <w:r w:rsidRPr="00160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Cumhurbaşkanıdır</w:t>
            </w:r>
            <w:proofErr w:type="gramEnd"/>
          </w:p>
          <w:p w:rsidR="00E80822" w:rsidRPr="0016005D" w:rsidRDefault="00E80822" w:rsidP="0021790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Cumhurbaşkanı Yardımcısı: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A92850" w:rsidRPr="0016005D">
              <w:t xml:space="preserve"> </w:t>
            </w:r>
            <w:proofErr w:type="spellStart"/>
            <w:r w:rsidR="00217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Isatou</w:t>
            </w:r>
            <w:proofErr w:type="spellEnd"/>
            <w:r w:rsidR="00217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Touray</w:t>
            </w:r>
          </w:p>
        </w:tc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Dışişleri Bakanı: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A92850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92850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Mamadou</w:t>
            </w:r>
            <w:proofErr w:type="spellEnd"/>
            <w:r w:rsidR="00A92850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92850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Tangara</w:t>
            </w:r>
            <w:proofErr w:type="spellEnd"/>
          </w:p>
        </w:tc>
      </w:tr>
      <w:tr w:rsidR="0016005D" w:rsidRPr="0016005D" w:rsidTr="001E2CCF">
        <w:tc>
          <w:tcPr>
            <w:tcW w:w="14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E80822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Konuşulan Diller: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İngilizce (Resmi dil), yerel diller</w:t>
            </w:r>
          </w:p>
        </w:tc>
        <w:tc>
          <w:tcPr>
            <w:tcW w:w="14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21790D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Para Birimi: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Dalasi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1 ABD Doları = 4</w:t>
            </w:r>
            <w:r w:rsidR="002179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Dalasi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8D3" w:rsidRPr="000A6E07" w:rsidRDefault="00E80822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GSMH (Dolar olarak):</w:t>
            </w:r>
            <w:r w:rsidR="00326374" w:rsidRPr="0016005D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footnoteReference w:id="1"/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326374" w:rsidRPr="0016005D">
              <w:t xml:space="preserve"> </w:t>
            </w:r>
            <w:bookmarkStart w:id="0" w:name="_GoBack"/>
            <w:bookmarkEnd w:id="0"/>
            <w:r w:rsidR="00326374" w:rsidRPr="000A6E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1,489,464.79</w:t>
            </w:r>
            <w:r w:rsidR="00A038D3" w:rsidRPr="000A6E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ABD Doları </w:t>
            </w:r>
          </w:p>
          <w:p w:rsidR="00E80822" w:rsidRPr="0016005D" w:rsidRDefault="00326374" w:rsidP="00F76B11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6E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(2017</w:t>
            </w:r>
            <w:r w:rsidR="00A038D3" w:rsidRPr="000A6E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-Dünya B.)</w:t>
            </w:r>
          </w:p>
        </w:tc>
      </w:tr>
      <w:tr w:rsidR="0016005D" w:rsidRPr="0016005D" w:rsidTr="001E2CC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F76B11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Etnik Yapı: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Mandinka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% 42,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%18,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Wolof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%16,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Jola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%10,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Serahuli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%9, diğer</w:t>
            </w:r>
            <w:r w:rsidR="001E2CC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% </w:t>
            </w:r>
            <w:r w:rsidR="00F76B11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16005D" w:rsidRPr="0016005D" w:rsidTr="001E2CC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8D3" w:rsidRPr="0016005D" w:rsidRDefault="00E80822" w:rsidP="00A038D3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Önemli Siyasi Partiler: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E726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 Meclis’te toplam 58 üye bulunmakta olup,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119D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milletvekillerinin 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  <w:r w:rsidR="00E726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’ü halk tarafından seçilmekte,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5</w:t>
            </w:r>
            <w:r w:rsidR="00E726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’i ise Cumhurbaşkanı tarafından atanmaktadır. Son olarak 6 Nisan 2017 tarihinde gerç</w:t>
            </w:r>
            <w:r w:rsidR="00DE44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ekleştirilen milletvekili seçimlerinde Koalisyonun en önemli ortağı olan Birleşik Demokratik Parti (UDP) 31 milletvekili kazanarak Parlamentoda çoğunluğu elde etmiştir. 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Ulusal Meclis’teki partilerin Liderleri ile milletvekilleri dağlımı aşağıdaki gibidir.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Birleşik Demokratik</w:t>
            </w:r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Parti (UDP): </w:t>
            </w:r>
            <w:proofErr w:type="spellStart"/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Ousainou</w:t>
            </w:r>
            <w:proofErr w:type="spellEnd"/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Darboe</w:t>
            </w:r>
            <w:proofErr w:type="spellEnd"/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23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milletvekili,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Yurtsever Yenilenme ve Yapılanma Birliği Partisi (APRC):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Fabakary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Tombang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Jatta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5 milletvekili,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Gambiya Demokratik Kongresi Partisi (GDC):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Mamma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Kandeh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5 milletvekili,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Ulusal Uzlaşı Partisi (NRP):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Hamat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N.K.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5 milletvekili,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Bağımsızlık ve Sosyalizm için Halkın Demokratik Örgütlenmesi Partisi (PDOIS):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Halifa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Sallah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4 milletvekili,</w:t>
            </w:r>
          </w:p>
          <w:p w:rsidR="00A038D3" w:rsidRPr="0016005D" w:rsidRDefault="00A038D3" w:rsidP="000C64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Halkın İlerici Partisi (PPP): Omar 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Jallow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 milletvekili,</w:t>
            </w:r>
          </w:p>
          <w:p w:rsidR="00296B52" w:rsidRPr="0016005D" w:rsidRDefault="00A038D3" w:rsidP="00F4482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 Bağımsız: </w:t>
            </w:r>
            <w:r w:rsidR="00765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milletvekili.</w:t>
            </w:r>
          </w:p>
          <w:p w:rsidR="00F44824" w:rsidRPr="0016005D" w:rsidRDefault="00F44824" w:rsidP="00F4482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6005D" w:rsidRPr="0016005D" w:rsidTr="001E2CCF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822" w:rsidRPr="0016005D" w:rsidRDefault="00E80822" w:rsidP="001A300F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Üyesi Olduğu Uluslararası Kuruluşlar: </w:t>
            </w:r>
            <w:r w:rsidRPr="0016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Birleşmiş Milletler (UN), İslam İşbirliği Teşkilatı (İİT),</w:t>
            </w:r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İngiliz Milletler Topluluğu (</w:t>
            </w:r>
            <w:proofErr w:type="spellStart"/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Commonwealth</w:t>
            </w:r>
            <w:proofErr w:type="spellEnd"/>
            <w:r w:rsidR="00A038D3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İslam Kalkınma Bankası (IDB), Afrika Birliği (AU), Batı Afrika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Ekonomik Birliği (ECOWAS), Afrika Kalkınma Bankası (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AfDB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Dünya Gıda Örgütü (FAO), Dünya Ticaret Örgüt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 (WTO), Dünya Sağlık Örgütü (WH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O), Birleşmiş Milletler Ticaret ve Kalkınma Konferansı (UNCTAD), Birleşmiş Milletler Eğitim Bilim Ve Kültür Kurumu (UNESCO), Birleşmiş Milletler Sınai Kalkınma Teşkilatı (UNIDO), Birleşmiş Milletler Liberya Misyonu (UNMIL), Birleşmiş Milletler Orta Af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rika Ve Çad Misyonu (MINURCAT), </w:t>
            </w:r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Posta Teşkilatı (UPU), Dünya Gümrük Örgütü (WCO), Uluslararası Ceza Mahkemesi (</w:t>
            </w:r>
            <w:proofErr w:type="spellStart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ICCt</w:t>
            </w:r>
            <w:proofErr w:type="spellEnd"/>
            <w:r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Uluslararası Çalışma Örgütü (ILO), Uluslararası Para Fonu (IMF)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E261B" w:rsidRPr="0016005D">
              <w:t xml:space="preserve"> 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Birleşmiş Milletler Dünya Turizm Örgütü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UNWTO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Dünya Meteoroloji Örgütü (WMO)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E261B" w:rsidRPr="0016005D">
              <w:t xml:space="preserve"> 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Interpol, </w:t>
            </w:r>
            <w:r w:rsid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G-77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 </w:t>
            </w:r>
            <w:r w:rsidR="0016005D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Sivil Havacılık Örgütü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ICAO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E261B" w:rsidRPr="0016005D">
              <w:t xml:space="preserve"> </w:t>
            </w:r>
            <w:r w:rsidR="005671A3" w:rsidRP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Parlamentolar Arası Birlik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IPU</w:t>
            </w:r>
            <w:r w:rsid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5671A3" w:rsidRP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Telekomünikasyon Birliği</w:t>
            </w:r>
            <w:r w:rsidR="001A300F" w:rsidRPr="0016005D">
              <w:t xml:space="preserve"> </w:t>
            </w:r>
            <w:r w:rsidR="001A300F">
              <w:t>(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ITU</w:t>
            </w:r>
            <w:r w:rsid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1E261B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E261B" w:rsidRPr="0016005D">
              <w:t xml:space="preserve"> </w:t>
            </w:r>
            <w:r w:rsidR="005671A3" w:rsidRP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Kimyasal Silahların Yasaklanması Örgütü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1A300F" w:rsidRPr="00160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OPCW</w:t>
            </w:r>
            <w:r w:rsidR="005671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1A300F">
              <w:t xml:space="preserve"> </w:t>
            </w:r>
            <w:r w:rsidR="001A300F" w:rsidRP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Uluslararası </w:t>
            </w:r>
            <w:proofErr w:type="spellStart"/>
            <w:r w:rsidR="001A300F" w:rsidRP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Frankofon</w:t>
            </w:r>
            <w:proofErr w:type="spellEnd"/>
            <w:r w:rsidR="001A300F" w:rsidRP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Ülkeler Topluluğu</w:t>
            </w:r>
            <w:r w:rsidR="001A300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(IFO)</w:t>
            </w:r>
            <w:r w:rsidR="00E726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(Gözlemci Üye) </w:t>
            </w:r>
            <w:proofErr w:type="gramEnd"/>
          </w:p>
        </w:tc>
      </w:tr>
    </w:tbl>
    <w:p w:rsidR="00F76B11" w:rsidRPr="0016005D" w:rsidRDefault="00F76B11"/>
    <w:sectPr w:rsidR="00F76B11" w:rsidRPr="0016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74" w:rsidRDefault="00326374" w:rsidP="00326374">
      <w:pPr>
        <w:spacing w:after="0" w:line="240" w:lineRule="auto"/>
      </w:pPr>
      <w:r>
        <w:separator/>
      </w:r>
    </w:p>
  </w:endnote>
  <w:endnote w:type="continuationSeparator" w:id="0">
    <w:p w:rsidR="00326374" w:rsidRDefault="00326374" w:rsidP="0032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74" w:rsidRDefault="00326374" w:rsidP="00326374">
      <w:pPr>
        <w:spacing w:after="0" w:line="240" w:lineRule="auto"/>
      </w:pPr>
      <w:r>
        <w:separator/>
      </w:r>
    </w:p>
  </w:footnote>
  <w:footnote w:type="continuationSeparator" w:id="0">
    <w:p w:rsidR="00326374" w:rsidRDefault="00326374" w:rsidP="00326374">
      <w:pPr>
        <w:spacing w:after="0" w:line="240" w:lineRule="auto"/>
      </w:pPr>
      <w:r>
        <w:continuationSeparator/>
      </w:r>
    </w:p>
  </w:footnote>
  <w:footnote w:id="1">
    <w:p w:rsidR="00326374" w:rsidRDefault="00326374">
      <w:pPr>
        <w:pStyle w:val="FootnoteText"/>
      </w:pPr>
      <w:r>
        <w:rPr>
          <w:rStyle w:val="FootnoteReference"/>
        </w:rPr>
        <w:footnoteRef/>
      </w:r>
      <w:r>
        <w:t xml:space="preserve"> 2017 yılı Dünya Bankası verileri: </w:t>
      </w:r>
      <w:r w:rsidRPr="00326374">
        <w:t>https://</w:t>
      </w:r>
      <w:proofErr w:type="gramStart"/>
      <w:r w:rsidRPr="00326374">
        <w:t>data</w:t>
      </w:r>
      <w:proofErr w:type="gramEnd"/>
      <w:r w:rsidRPr="00326374">
        <w:t>.worldbank.org/indicator/NY.GDP.MKTP.CD?locations=GM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22"/>
    <w:rsid w:val="000A6E07"/>
    <w:rsid w:val="000C645D"/>
    <w:rsid w:val="001119D7"/>
    <w:rsid w:val="0016005D"/>
    <w:rsid w:val="001A300F"/>
    <w:rsid w:val="001E261B"/>
    <w:rsid w:val="001E2CCF"/>
    <w:rsid w:val="0021790D"/>
    <w:rsid w:val="00296B52"/>
    <w:rsid w:val="00326374"/>
    <w:rsid w:val="00464D60"/>
    <w:rsid w:val="005671A3"/>
    <w:rsid w:val="0069644E"/>
    <w:rsid w:val="00752222"/>
    <w:rsid w:val="0076587A"/>
    <w:rsid w:val="007751B3"/>
    <w:rsid w:val="00955919"/>
    <w:rsid w:val="00A038D3"/>
    <w:rsid w:val="00A4069E"/>
    <w:rsid w:val="00A92850"/>
    <w:rsid w:val="00DE44F7"/>
    <w:rsid w:val="00E278A8"/>
    <w:rsid w:val="00E7268A"/>
    <w:rsid w:val="00E80822"/>
    <w:rsid w:val="00F44824"/>
    <w:rsid w:val="00F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188E-F673-4F50-B7B7-A4560C8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3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3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76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7876-FD52-4455-BCF5-EFAD90C2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Damla Gümüşkaya</dc:creator>
  <cp:lastModifiedBy>Muhammet Birgi Ertüfekçi</cp:lastModifiedBy>
  <cp:revision>17</cp:revision>
  <cp:lastPrinted>2019-02-05T12:54:00Z</cp:lastPrinted>
  <dcterms:created xsi:type="dcterms:W3CDTF">2016-12-28T13:32:00Z</dcterms:created>
  <dcterms:modified xsi:type="dcterms:W3CDTF">2020-07-07T11:54:00Z</dcterms:modified>
</cp:coreProperties>
</file>